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6E3F8" w14:textId="3A4AF3C2" w:rsidR="002307F8" w:rsidRPr="00A4293E" w:rsidRDefault="002307F8">
      <w:pPr>
        <w:rPr>
          <w:b/>
          <w:sz w:val="24"/>
          <w:szCs w:val="24"/>
          <w:lang w:val="en-US"/>
        </w:rPr>
      </w:pPr>
      <w:bookmarkStart w:id="0" w:name="_GoBack"/>
      <w:bookmarkEnd w:id="0"/>
      <w:r w:rsidRPr="00A4293E">
        <w:rPr>
          <w:b/>
          <w:sz w:val="24"/>
          <w:szCs w:val="24"/>
          <w:lang w:val="en-US"/>
        </w:rPr>
        <w:t>Carbon metrics and carbon budget</w:t>
      </w:r>
      <w:r w:rsidR="00626B86">
        <w:rPr>
          <w:b/>
          <w:sz w:val="24"/>
          <w:szCs w:val="24"/>
          <w:lang w:val="en-US"/>
        </w:rPr>
        <w:t>:</w:t>
      </w:r>
      <w:r w:rsidRPr="00A4293E">
        <w:rPr>
          <w:b/>
          <w:sz w:val="24"/>
          <w:szCs w:val="24"/>
          <w:lang w:val="en-US"/>
        </w:rPr>
        <w:t xml:space="preserve"> </w:t>
      </w:r>
      <w:r w:rsidR="00626B86">
        <w:rPr>
          <w:b/>
          <w:sz w:val="24"/>
          <w:szCs w:val="24"/>
          <w:lang w:val="en-US"/>
        </w:rPr>
        <w:t>improving building design &amp; operation</w:t>
      </w:r>
    </w:p>
    <w:p w14:paraId="6775E711" w14:textId="363B333A" w:rsidR="00D45B65" w:rsidRDefault="00C81A51" w:rsidP="00D45B65">
      <w:pPr>
        <w:spacing w:after="0"/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</w:pPr>
      <w:r w:rsidRPr="00C81A51">
        <w:rPr>
          <w:rFonts w:ascii="Arial" w:hAnsi="Arial" w:cs="Arial"/>
          <w:sz w:val="20"/>
          <w:szCs w:val="20"/>
          <w:lang w:val="en-US"/>
        </w:rPr>
        <w:t xml:space="preserve">One of the main tasks of the New European </w:t>
      </w:r>
      <w:r w:rsidR="0027543B">
        <w:rPr>
          <w:rFonts w:ascii="Arial" w:hAnsi="Arial" w:cs="Arial"/>
          <w:sz w:val="20"/>
          <w:szCs w:val="20"/>
          <w:lang w:val="en-US"/>
        </w:rPr>
        <w:t>Bauhaus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is the </w:t>
      </w:r>
      <w:r>
        <w:rPr>
          <w:rFonts w:ascii="Arial" w:hAnsi="Arial" w:cs="Arial"/>
          <w:sz w:val="20"/>
          <w:szCs w:val="20"/>
          <w:lang w:val="en-US"/>
        </w:rPr>
        <w:t>design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and </w:t>
      </w:r>
      <w:r>
        <w:rPr>
          <w:rFonts w:ascii="Arial" w:hAnsi="Arial" w:cs="Arial"/>
          <w:sz w:val="20"/>
          <w:szCs w:val="20"/>
          <w:lang w:val="en-US"/>
        </w:rPr>
        <w:t>construction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of sustainable buildings that can contribute to </w:t>
      </w:r>
      <w:r w:rsidR="00330DB4">
        <w:rPr>
          <w:rFonts w:ascii="Arial" w:hAnsi="Arial" w:cs="Arial"/>
          <w:sz w:val="20"/>
          <w:szCs w:val="20"/>
          <w:lang w:val="en-US"/>
        </w:rPr>
        <w:t xml:space="preserve">a 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sustainable </w:t>
      </w:r>
      <w:r w:rsidR="00330DB4">
        <w:rPr>
          <w:rFonts w:ascii="Arial" w:hAnsi="Arial" w:cs="Arial"/>
          <w:sz w:val="20"/>
          <w:szCs w:val="20"/>
          <w:lang w:val="en-US"/>
        </w:rPr>
        <w:t>society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. In close interaction with other </w:t>
      </w:r>
      <w:r>
        <w:rPr>
          <w:rFonts w:ascii="Arial" w:hAnsi="Arial" w:cs="Arial"/>
          <w:sz w:val="20"/>
          <w:szCs w:val="20"/>
          <w:lang w:val="en-US"/>
        </w:rPr>
        <w:t xml:space="preserve">design 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tasks, this requires </w:t>
      </w:r>
      <w:r w:rsidR="00330DB4">
        <w:rPr>
          <w:rFonts w:ascii="Arial" w:hAnsi="Arial" w:cs="Arial"/>
          <w:sz w:val="20"/>
          <w:szCs w:val="20"/>
          <w:lang w:val="en-US"/>
        </w:rPr>
        <w:t>careful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use of natural resources and </w:t>
      </w:r>
      <w:r w:rsidR="00330DB4">
        <w:rPr>
          <w:rFonts w:ascii="Arial" w:hAnsi="Arial" w:cs="Arial"/>
          <w:sz w:val="20"/>
          <w:szCs w:val="20"/>
          <w:lang w:val="en-US"/>
        </w:rPr>
        <w:t>understanding their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impacts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on </w:t>
      </w:r>
      <w:r w:rsidR="00330DB4">
        <w:rPr>
          <w:rFonts w:ascii="Arial" w:hAnsi="Arial" w:cs="Arial"/>
          <w:sz w:val="20"/>
          <w:szCs w:val="20"/>
          <w:lang w:val="en-US"/>
        </w:rPr>
        <w:t xml:space="preserve">both 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the local and global environment. </w:t>
      </w:r>
      <w:r w:rsidR="00A45016">
        <w:rPr>
          <w:rFonts w:ascii="Arial" w:hAnsi="Arial" w:cs="Arial"/>
          <w:sz w:val="20"/>
          <w:szCs w:val="20"/>
          <w:lang w:val="en-US"/>
        </w:rPr>
        <w:t>To mitigate climate change, new metrics, target values and management tools are need to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limit greenhouse gas emissions </w:t>
      </w:r>
      <w:r w:rsidR="00A45016">
        <w:rPr>
          <w:rFonts w:ascii="Arial" w:hAnsi="Arial" w:cs="Arial"/>
          <w:sz w:val="20"/>
          <w:szCs w:val="20"/>
          <w:lang w:val="en-US"/>
        </w:rPr>
        <w:t>from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new </w:t>
      </w:r>
      <w:r w:rsidR="00A45016">
        <w:rPr>
          <w:rFonts w:ascii="Arial" w:hAnsi="Arial" w:cs="Arial"/>
          <w:sz w:val="20"/>
          <w:szCs w:val="20"/>
          <w:lang w:val="en-US"/>
        </w:rPr>
        <w:t xml:space="preserve">and existing </w:t>
      </w:r>
      <w:r w:rsidRPr="00C81A51">
        <w:rPr>
          <w:rFonts w:ascii="Arial" w:hAnsi="Arial" w:cs="Arial"/>
          <w:sz w:val="20"/>
          <w:szCs w:val="20"/>
          <w:lang w:val="en-US"/>
        </w:rPr>
        <w:t>buildings</w:t>
      </w:r>
      <w:r w:rsidR="008149CE">
        <w:rPr>
          <w:rFonts w:ascii="Arial" w:hAnsi="Arial" w:cs="Arial"/>
          <w:sz w:val="20"/>
          <w:szCs w:val="20"/>
          <w:lang w:val="en-US"/>
        </w:rPr>
        <w:t xml:space="preserve"> over their whole life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. </w:t>
      </w:r>
      <w:r w:rsidR="00A45016">
        <w:rPr>
          <w:rFonts w:ascii="Arial" w:hAnsi="Arial" w:cs="Arial"/>
          <w:sz w:val="20"/>
          <w:szCs w:val="20"/>
          <w:lang w:val="en-US"/>
        </w:rPr>
        <w:t xml:space="preserve">Several </w:t>
      </w:r>
      <w:r>
        <w:rPr>
          <w:rFonts w:ascii="Arial" w:hAnsi="Arial" w:cs="Arial"/>
          <w:sz w:val="20"/>
          <w:szCs w:val="20"/>
          <w:lang w:val="en-US"/>
        </w:rPr>
        <w:t xml:space="preserve">recent </w:t>
      </w:r>
      <w:r w:rsidRPr="00C81A51">
        <w:rPr>
          <w:rFonts w:ascii="Arial" w:hAnsi="Arial" w:cs="Arial"/>
          <w:sz w:val="20"/>
          <w:szCs w:val="20"/>
          <w:lang w:val="en-US"/>
        </w:rPr>
        <w:t>scientific activities</w:t>
      </w:r>
      <w:r w:rsidR="00A45016">
        <w:rPr>
          <w:rFonts w:ascii="Arial" w:hAnsi="Arial" w:cs="Arial"/>
          <w:sz w:val="20"/>
          <w:szCs w:val="20"/>
          <w:lang w:val="en-US"/>
        </w:rPr>
        <w:t xml:space="preserve"> are helping to move this forward for both policy and practice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. </w:t>
      </w:r>
      <w:r w:rsidR="00A45016">
        <w:rPr>
          <w:rFonts w:ascii="Arial" w:hAnsi="Arial" w:cs="Arial"/>
          <w:sz w:val="20"/>
          <w:szCs w:val="20"/>
          <w:lang w:val="en-US"/>
        </w:rPr>
        <w:t xml:space="preserve">The publication of a peer-reviewed </w:t>
      </w:r>
      <w:r w:rsidRPr="00C81A51">
        <w:rPr>
          <w:rFonts w:ascii="Arial" w:hAnsi="Arial" w:cs="Arial"/>
          <w:sz w:val="20"/>
          <w:szCs w:val="20"/>
          <w:lang w:val="en-US"/>
        </w:rPr>
        <w:t xml:space="preserve">special issue </w:t>
      </w:r>
      <w:r w:rsidR="00A45016">
        <w:rPr>
          <w:rFonts w:ascii="Arial" w:hAnsi="Arial" w:cs="Arial"/>
          <w:sz w:val="20"/>
          <w:szCs w:val="20"/>
          <w:lang w:val="en-US"/>
        </w:rPr>
        <w:t xml:space="preserve">on </w:t>
      </w:r>
      <w:r w:rsidRPr="00C81A51">
        <w:rPr>
          <w:rFonts w:ascii="Arial" w:hAnsi="Arial" w:cs="Arial"/>
          <w:sz w:val="20"/>
          <w:szCs w:val="20"/>
          <w:lang w:val="en-US"/>
        </w:rPr>
        <w:t>“Carbon Metrics”, presented</w:t>
      </w:r>
      <w:r w:rsidR="00A45016">
        <w:rPr>
          <w:rFonts w:ascii="Arial" w:hAnsi="Arial" w:cs="Arial"/>
          <w:sz w:val="20"/>
          <w:szCs w:val="20"/>
          <w:lang w:val="en-US"/>
        </w:rPr>
        <w:t xml:space="preserve"> new</w:t>
      </w:r>
      <w:r w:rsidR="008149CE">
        <w:rPr>
          <w:rFonts w:ascii="Arial" w:hAnsi="Arial" w:cs="Arial"/>
          <w:sz w:val="20"/>
          <w:szCs w:val="20"/>
          <w:lang w:val="en-US"/>
        </w:rPr>
        <w:t xml:space="preserve"> international research with</w:t>
      </w:r>
      <w:r w:rsidR="00A45016">
        <w:rPr>
          <w:rFonts w:ascii="Arial" w:hAnsi="Arial" w:cs="Arial"/>
          <w:sz w:val="20"/>
          <w:szCs w:val="20"/>
          <w:lang w:val="en-US"/>
        </w:rPr>
        <w:t xml:space="preserve"> ideas, methods and insights for measuring</w:t>
      </w:r>
      <w:r w:rsidR="008149CE">
        <w:rPr>
          <w:rFonts w:ascii="Arial" w:hAnsi="Arial" w:cs="Arial"/>
          <w:sz w:val="20"/>
          <w:szCs w:val="20"/>
          <w:lang w:val="en-US"/>
        </w:rPr>
        <w:t>,</w:t>
      </w:r>
      <w:r w:rsidR="00A45016">
        <w:rPr>
          <w:rFonts w:ascii="Arial" w:hAnsi="Arial" w:cs="Arial"/>
          <w:sz w:val="20"/>
          <w:szCs w:val="20"/>
          <w:lang w:val="en-US"/>
        </w:rPr>
        <w:t xml:space="preserve"> assessing</w:t>
      </w:r>
      <w:r w:rsidR="008149CE">
        <w:rPr>
          <w:rFonts w:ascii="Arial" w:hAnsi="Arial" w:cs="Arial"/>
          <w:sz w:val="20"/>
          <w:szCs w:val="20"/>
          <w:lang w:val="en-US"/>
        </w:rPr>
        <w:t xml:space="preserve"> and controlling GHG emissions.</w:t>
      </w:r>
      <w:r w:rsidR="00A45016">
        <w:rPr>
          <w:rFonts w:ascii="Arial" w:hAnsi="Arial" w:cs="Arial"/>
          <w:sz w:val="20"/>
          <w:szCs w:val="20"/>
          <w:lang w:val="en-US"/>
        </w:rPr>
        <w:t xml:space="preserve"> </w:t>
      </w:r>
      <w:r w:rsidR="00D45B65"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Carbon metrics have practical application in supporting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</w:t>
      </w:r>
      <w:r w:rsidR="00D45B65"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decisions in design and product development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</w:t>
      </w:r>
      <w:r w:rsidR="00D45B65"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as well as evaluating progress in reaching targets for net-zero.</w:t>
      </w:r>
    </w:p>
    <w:p w14:paraId="4E080962" w14:textId="77777777" w:rsidR="00C81A51" w:rsidRPr="00C81A51" w:rsidRDefault="00C81A51" w:rsidP="00A4293E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3D6F87D3" w14:textId="77777777" w:rsidR="001D30FB" w:rsidRPr="0027543B" w:rsidRDefault="001D30FB" w:rsidP="00A4293E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ABA8390" w14:textId="77777777" w:rsidR="00A4293E" w:rsidRPr="00A4293E" w:rsidRDefault="00A4293E" w:rsidP="00A4293E">
      <w:pPr>
        <w:spacing w:after="0"/>
        <w:rPr>
          <w:rFonts w:ascii="Arial" w:hAnsi="Arial" w:cs="Arial"/>
          <w:lang w:val="en-US"/>
        </w:rPr>
      </w:pPr>
      <w:r w:rsidRPr="00A4293E">
        <w:rPr>
          <w:rFonts w:ascii="Arial" w:hAnsi="Arial" w:cs="Arial"/>
          <w:noProof/>
          <w:lang w:eastAsia="de-DE"/>
        </w:rPr>
        <w:drawing>
          <wp:inline distT="0" distB="0" distL="0" distR="0" wp14:anchorId="3FF3DA1E" wp14:editId="09038DBD">
            <wp:extent cx="4671060" cy="2262135"/>
            <wp:effectExtent l="0" t="0" r="0" b="5080"/>
            <wp:docPr id="2" name="Grafik 2" descr="D:\Lorch - B&amp;C\Editorial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rch - B&amp;C\Editorial\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96" b="11808"/>
                    <a:stretch/>
                  </pic:blipFill>
                  <pic:spPr bwMode="auto">
                    <a:xfrm>
                      <a:off x="0" y="0"/>
                      <a:ext cx="4676223" cy="226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562A50" w14:textId="77777777" w:rsidR="00A4293E" w:rsidRDefault="00A4293E" w:rsidP="00A4293E">
      <w:pPr>
        <w:spacing w:after="0"/>
        <w:rPr>
          <w:rFonts w:ascii="Arial" w:hAnsi="Arial" w:cs="Arial"/>
          <w:lang w:val="en-US"/>
        </w:rPr>
      </w:pPr>
    </w:p>
    <w:p w14:paraId="64A23AC4" w14:textId="070F5296" w:rsidR="001D30FB" w:rsidRDefault="001D30FB" w:rsidP="00A4293E">
      <w:pPr>
        <w:spacing w:after="0"/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</w:pP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This </w:t>
      </w:r>
      <w:r w:rsidR="008149CE" w:rsidRPr="00D3577D">
        <w:rPr>
          <w:rStyle w:val="Hervorhebung"/>
          <w:rFonts w:ascii="Arial" w:hAnsi="Arial" w:cs="Arial"/>
          <w:iCs w:val="0"/>
          <w:color w:val="181715"/>
          <w:sz w:val="20"/>
          <w:szCs w:val="20"/>
          <w:bdr w:val="none" w:sz="0" w:space="0" w:color="auto" w:frame="1"/>
          <w:lang w:val="en-GB"/>
        </w:rPr>
        <w:t>Buildings &amp; Cities</w:t>
      </w:r>
      <w:r w:rsidR="008149CE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special issue </w:t>
      </w:r>
      <w:r w:rsidR="00626B86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creates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an important virtual space for research and discussion. It </w:t>
      </w:r>
      <w:r w:rsidR="002B64B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brings together researchers, educators, practitioners and policy makers to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examine</w:t>
      </w:r>
      <w:r w:rsidR="002B64B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and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create 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sound,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appropriate carbon metrics for the built environment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. In addition, consideration is given to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 what format(s) those could take for embodied and operational emissions. These can be used effectively to identify and assess</w:t>
      </w:r>
      <w:r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GHG emissions a</w:t>
      </w:r>
      <w:r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t different scales of the built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environment.</w:t>
      </w:r>
      <w:r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They can promote clarity, common understanding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>,</w:t>
      </w:r>
      <w:r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a shared goal amongst diverse stakeholders</w:t>
      </w:r>
      <w:r w:rsidR="00D45B65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and provide a basis for public policy and practices.</w:t>
      </w:r>
      <w:r w:rsidR="00D45B65" w:rsidRPr="001D30FB"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  <w:t xml:space="preserve"> </w:t>
      </w:r>
    </w:p>
    <w:p w14:paraId="3EB56D23" w14:textId="77777777" w:rsidR="001D30FB" w:rsidRDefault="001D30FB" w:rsidP="00A4293E">
      <w:pPr>
        <w:spacing w:after="0"/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GB"/>
        </w:rPr>
      </w:pPr>
    </w:p>
    <w:p w14:paraId="0935D7BE" w14:textId="431F8B52" w:rsidR="00C81A51" w:rsidRPr="00C81A51" w:rsidRDefault="00C81A51" w:rsidP="00C81A51">
      <w:pPr>
        <w:spacing w:after="0"/>
        <w:rPr>
          <w:rStyle w:val="Hervorhebung"/>
          <w:rFonts w:ascii="Arial" w:hAnsi="Arial" w:cs="Arial"/>
          <w:b/>
          <w:i w:val="0"/>
          <w:color w:val="181715"/>
          <w:sz w:val="20"/>
          <w:szCs w:val="20"/>
          <w:bdr w:val="none" w:sz="0" w:space="0" w:color="auto" w:frame="1"/>
          <w:lang w:val="en-US"/>
        </w:rPr>
      </w:pPr>
      <w:r>
        <w:rPr>
          <w:rStyle w:val="Hervorhebung"/>
          <w:rFonts w:ascii="Arial" w:hAnsi="Arial" w:cs="Arial"/>
          <w:b/>
          <w:i w:val="0"/>
          <w:color w:val="181715"/>
          <w:sz w:val="20"/>
          <w:szCs w:val="20"/>
          <w:bdr w:val="none" w:sz="0" w:space="0" w:color="auto" w:frame="1"/>
          <w:lang w:val="en-US"/>
        </w:rPr>
        <w:t>Advancement</w:t>
      </w:r>
      <w:r w:rsidRPr="00C81A51">
        <w:rPr>
          <w:rStyle w:val="Hervorhebung"/>
          <w:rFonts w:ascii="Arial" w:hAnsi="Arial" w:cs="Arial"/>
          <w:b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of previous approaches</w:t>
      </w:r>
    </w:p>
    <w:p w14:paraId="7156FA91" w14:textId="185F14E3" w:rsidR="00C81A51" w:rsidRPr="00C81A51" w:rsidRDefault="00ED3C80" w:rsidP="00C81A51">
      <w:pPr>
        <w:spacing w:after="0"/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</w:pPr>
      <w:r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Since the foundation of the Bauhaus in Weimar,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100 years ago, there were goals to limit the use of coal for heating buildings and the production of building materials. </w:t>
      </w:r>
      <w:proofErr w:type="spellStart"/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Muche</w:t>
      </w:r>
      <w:r w:rsid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’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s</w:t>
      </w:r>
      <w:proofErr w:type="spellEnd"/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“</w:t>
      </w:r>
      <w:proofErr w:type="spellStart"/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Haus</w:t>
      </w:r>
      <w:proofErr w:type="spellEnd"/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am Horn” already had thermal insulation, </w:t>
      </w:r>
      <w:r w:rsid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whose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effects on construction and </w:t>
      </w:r>
      <w:r w:rsid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operational 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cost</w:t>
      </w:r>
      <w:r w:rsid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s, as well as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the consumption of coal</w:t>
      </w:r>
      <w:r w:rsid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,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were examined. This topic is still </w:t>
      </w:r>
      <w:r w:rsid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relevant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</w:t>
      </w:r>
      <w:r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today </w:t>
      </w:r>
      <w:r w:rsidR="00C81A51" w:rsidRPr="00C81A51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but must now be expanded to include aspects of climate protection.</w:t>
      </w:r>
    </w:p>
    <w:p w14:paraId="6D0BD712" w14:textId="77777777" w:rsidR="001D30FB" w:rsidRPr="0027543B" w:rsidRDefault="001D30FB" w:rsidP="00A4293E">
      <w:pPr>
        <w:spacing w:after="0"/>
        <w:rPr>
          <w:rStyle w:val="Hervorhebung"/>
          <w:rFonts w:ascii="Arial" w:hAnsi="Arial" w:cs="Arial"/>
          <w:i w:val="0"/>
          <w:color w:val="181715"/>
          <w:sz w:val="20"/>
          <w:szCs w:val="20"/>
          <w:bdr w:val="none" w:sz="0" w:space="0" w:color="auto" w:frame="1"/>
          <w:lang w:val="en-US"/>
        </w:rPr>
      </w:pPr>
    </w:p>
    <w:p w14:paraId="502926CF" w14:textId="77777777" w:rsidR="005802D5" w:rsidRPr="005802D5" w:rsidRDefault="005802D5" w:rsidP="005802D5">
      <w:pPr>
        <w:spacing w:after="0"/>
        <w:rPr>
          <w:rStyle w:val="Hervorhebung"/>
          <w:rFonts w:ascii="Arial" w:hAnsi="Arial" w:cs="Arial"/>
          <w:b/>
          <w:i w:val="0"/>
          <w:color w:val="181715"/>
          <w:sz w:val="20"/>
          <w:szCs w:val="20"/>
          <w:bdr w:val="none" w:sz="0" w:space="0" w:color="auto" w:frame="1"/>
          <w:lang w:val="en-US"/>
        </w:rPr>
      </w:pPr>
      <w:r w:rsidRPr="005802D5">
        <w:rPr>
          <w:rStyle w:val="Hervorhebung"/>
          <w:rFonts w:ascii="Arial" w:hAnsi="Arial" w:cs="Arial"/>
          <w:b/>
          <w:i w:val="0"/>
          <w:color w:val="181715"/>
          <w:sz w:val="20"/>
          <w:szCs w:val="20"/>
          <w:bdr w:val="none" w:sz="0" w:space="0" w:color="auto" w:frame="1"/>
          <w:lang w:val="en-US"/>
        </w:rPr>
        <w:t>Results of an international cooperation with a focus on Europe</w:t>
      </w:r>
    </w:p>
    <w:p w14:paraId="05FC4382" w14:textId="12B0F520" w:rsidR="005802D5" w:rsidRPr="005802D5" w:rsidRDefault="005802D5" w:rsidP="005802D5">
      <w:pPr>
        <w:spacing w:after="0"/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</w:pP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In Europe there is a close exchange between scientists, </w:t>
      </w:r>
      <w:r w:rsidR="004530C9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where also </w:t>
      </w: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colleagues from all over the world are involved. Projects such as </w:t>
      </w:r>
      <w:r w:rsidR="004A2963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the International Energy </w:t>
      </w:r>
      <w:proofErr w:type="gramStart"/>
      <w:r w:rsidR="004A2963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Agency’s </w:t>
      </w:r>
      <w:r w:rsidR="004A2963"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</w:t>
      </w: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EBC</w:t>
      </w:r>
      <w:proofErr w:type="gramEnd"/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Annex 72, the standardization activities of CEN TC 350 and current legislative initiatives in countries such as Finland contribute to the further development of </w:t>
      </w:r>
      <w:r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design </w:t>
      </w: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goals and </w:t>
      </w:r>
      <w:r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tools</w:t>
      </w: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</w:t>
      </w:r>
      <w:r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to</w:t>
      </w: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 ensure their application. The</w:t>
      </w:r>
      <w:r w:rsidR="004530C9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 xml:space="preserve">se activities flow </w:t>
      </w:r>
      <w:r w:rsidRPr="005802D5">
        <w:rPr>
          <w:rStyle w:val="Hervorhebung"/>
          <w:rFonts w:ascii="Arial" w:hAnsi="Arial" w:cs="Arial"/>
          <w:bCs/>
          <w:i w:val="0"/>
          <w:color w:val="181715"/>
          <w:sz w:val="20"/>
          <w:szCs w:val="20"/>
          <w:bdr w:val="none" w:sz="0" w:space="0" w:color="auto" w:frame="1"/>
          <w:lang w:val="en-US"/>
        </w:rPr>
        <w:t>into the contributions to the special issue.</w:t>
      </w:r>
    </w:p>
    <w:p w14:paraId="1B1E926B" w14:textId="77777777" w:rsidR="007473A9" w:rsidRPr="004530C9" w:rsidRDefault="007473A9" w:rsidP="00A4293E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06A68887" w14:textId="77777777" w:rsidR="004530C9" w:rsidRPr="004530C9" w:rsidRDefault="004530C9" w:rsidP="004530C9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4530C9">
        <w:rPr>
          <w:rFonts w:ascii="Arial" w:hAnsi="Arial" w:cs="Arial"/>
          <w:b/>
          <w:sz w:val="20"/>
          <w:szCs w:val="20"/>
          <w:lang w:val="en-US"/>
        </w:rPr>
        <w:t>Platform for discussion and exchange</w:t>
      </w:r>
    </w:p>
    <w:p w14:paraId="2F2A6F5A" w14:textId="56AE66A1" w:rsidR="004530C9" w:rsidRPr="004530C9" w:rsidRDefault="004530C9" w:rsidP="004530C9">
      <w:pPr>
        <w:spacing w:after="0"/>
        <w:rPr>
          <w:rFonts w:ascii="Arial" w:hAnsi="Arial" w:cs="Arial"/>
          <w:bCs/>
          <w:sz w:val="20"/>
          <w:szCs w:val="20"/>
          <w:lang w:val="en-US"/>
        </w:rPr>
      </w:pPr>
      <w:r w:rsidRPr="004A2963">
        <w:rPr>
          <w:rFonts w:ascii="Arial" w:hAnsi="Arial" w:cs="Arial"/>
          <w:bCs/>
          <w:i/>
          <w:iCs/>
          <w:sz w:val="20"/>
          <w:szCs w:val="20"/>
          <w:lang w:val="en-US"/>
        </w:rPr>
        <w:t>Buildings &amp; Cities</w:t>
      </w:r>
      <w:r w:rsidRPr="004530C9">
        <w:rPr>
          <w:rFonts w:ascii="Arial" w:hAnsi="Arial" w:cs="Arial"/>
          <w:bCs/>
          <w:sz w:val="20"/>
          <w:szCs w:val="20"/>
          <w:lang w:val="en-US"/>
        </w:rPr>
        <w:t xml:space="preserve"> offers a </w:t>
      </w:r>
      <w:r w:rsidR="00B0681F">
        <w:rPr>
          <w:rFonts w:ascii="Arial" w:hAnsi="Arial" w:cs="Arial"/>
          <w:bCs/>
          <w:sz w:val="20"/>
          <w:szCs w:val="20"/>
          <w:lang w:val="en-US"/>
        </w:rPr>
        <w:t xml:space="preserve">virtual </w:t>
      </w:r>
      <w:r w:rsidRPr="004530C9">
        <w:rPr>
          <w:rFonts w:ascii="Arial" w:hAnsi="Arial" w:cs="Arial"/>
          <w:bCs/>
          <w:sz w:val="20"/>
          <w:szCs w:val="20"/>
          <w:lang w:val="en-US"/>
        </w:rPr>
        <w:t xml:space="preserve">platform for the presentation of scientific results, which </w:t>
      </w:r>
      <w:r>
        <w:rPr>
          <w:rFonts w:ascii="Arial" w:hAnsi="Arial" w:cs="Arial"/>
          <w:bCs/>
          <w:sz w:val="20"/>
          <w:szCs w:val="20"/>
          <w:lang w:val="en-US"/>
        </w:rPr>
        <w:t>are</w:t>
      </w:r>
      <w:r w:rsidRPr="004530C9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B0681F">
        <w:rPr>
          <w:rFonts w:ascii="Arial" w:hAnsi="Arial" w:cs="Arial"/>
          <w:bCs/>
          <w:sz w:val="20"/>
          <w:szCs w:val="20"/>
          <w:lang w:val="en-US"/>
        </w:rPr>
        <w:t xml:space="preserve">further </w:t>
      </w:r>
      <w:r w:rsidRPr="004530C9">
        <w:rPr>
          <w:rFonts w:ascii="Arial" w:hAnsi="Arial" w:cs="Arial"/>
          <w:bCs/>
          <w:sz w:val="20"/>
          <w:szCs w:val="20"/>
          <w:lang w:val="en-US"/>
        </w:rPr>
        <w:t>discussed at workshops and events</w:t>
      </w:r>
      <w:r w:rsidR="00626B86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B0681F">
        <w:rPr>
          <w:rFonts w:ascii="Arial" w:hAnsi="Arial" w:cs="Arial"/>
          <w:bCs/>
          <w:sz w:val="20"/>
          <w:szCs w:val="20"/>
          <w:lang w:val="en-US"/>
        </w:rPr>
        <w:t>to broaden understanding and engagement with key stakeholders in policy and practice</w:t>
      </w:r>
      <w:r w:rsidR="004A2963"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 w:rsidR="004A2963" w:rsidRPr="004530C9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4A2963">
        <w:rPr>
          <w:rFonts w:ascii="Arial" w:hAnsi="Arial" w:cs="Arial"/>
          <w:bCs/>
          <w:sz w:val="20"/>
          <w:szCs w:val="20"/>
          <w:lang w:val="en-US"/>
        </w:rPr>
        <w:t>An event at</w:t>
      </w:r>
      <w:r w:rsidRPr="004530C9">
        <w:rPr>
          <w:rFonts w:ascii="Arial" w:hAnsi="Arial" w:cs="Arial"/>
          <w:bCs/>
          <w:sz w:val="20"/>
          <w:szCs w:val="20"/>
          <w:lang w:val="en-US"/>
        </w:rPr>
        <w:t xml:space="preserve"> COP26 is planned</w:t>
      </w:r>
      <w:r w:rsidR="004A2963">
        <w:rPr>
          <w:rFonts w:ascii="Arial" w:hAnsi="Arial" w:cs="Arial"/>
          <w:bCs/>
          <w:sz w:val="20"/>
          <w:szCs w:val="20"/>
          <w:lang w:val="en-US"/>
        </w:rPr>
        <w:t xml:space="preserve"> to broaden and deepen the discussion and prepare the way for policymakers and practitioners to act.</w:t>
      </w:r>
    </w:p>
    <w:p w14:paraId="3221EC60" w14:textId="77777777" w:rsidR="007473A9" w:rsidRPr="0027543B" w:rsidRDefault="007473A9" w:rsidP="00A4293E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A75F232" w14:textId="77777777" w:rsidR="007473A9" w:rsidRPr="0027543B" w:rsidRDefault="007473A9" w:rsidP="00A4293E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9D95867" w14:textId="77777777" w:rsidR="007473A9" w:rsidRPr="007473A9" w:rsidRDefault="002A33D6" w:rsidP="00A4293E">
      <w:pPr>
        <w:spacing w:after="0"/>
        <w:rPr>
          <w:rFonts w:ascii="Arial" w:hAnsi="Arial" w:cs="Arial"/>
          <w:sz w:val="20"/>
          <w:szCs w:val="20"/>
          <w:lang w:val="en-GB"/>
        </w:rPr>
      </w:pPr>
      <w:hyperlink r:id="rId5" w:history="1">
        <w:r w:rsidR="007473A9" w:rsidRPr="007473A9">
          <w:rPr>
            <w:rStyle w:val="Hyperlink"/>
            <w:sz w:val="20"/>
            <w:szCs w:val="20"/>
            <w:lang w:val="en-GB"/>
          </w:rPr>
          <w:t>Carbon Metrics: Assessing &amp; Controlling GHG Emissions Across Scales - Special Issues (buildingsandcities.org)</w:t>
        </w:r>
      </w:hyperlink>
    </w:p>
    <w:sectPr w:rsidR="007473A9" w:rsidRPr="007473A9" w:rsidSect="002307F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3D"/>
    <w:rsid w:val="00145B96"/>
    <w:rsid w:val="001D30FB"/>
    <w:rsid w:val="002307F8"/>
    <w:rsid w:val="0027543B"/>
    <w:rsid w:val="00281A3D"/>
    <w:rsid w:val="002A33D6"/>
    <w:rsid w:val="002B64B5"/>
    <w:rsid w:val="00330DB4"/>
    <w:rsid w:val="00332348"/>
    <w:rsid w:val="003851D3"/>
    <w:rsid w:val="004530C9"/>
    <w:rsid w:val="004A2963"/>
    <w:rsid w:val="005802D5"/>
    <w:rsid w:val="00626B86"/>
    <w:rsid w:val="007473A9"/>
    <w:rsid w:val="008149CE"/>
    <w:rsid w:val="0095666B"/>
    <w:rsid w:val="00A4293E"/>
    <w:rsid w:val="00A45016"/>
    <w:rsid w:val="00B0681F"/>
    <w:rsid w:val="00BB62D5"/>
    <w:rsid w:val="00C205BE"/>
    <w:rsid w:val="00C81A51"/>
    <w:rsid w:val="00D3577D"/>
    <w:rsid w:val="00D45B65"/>
    <w:rsid w:val="00DD6776"/>
    <w:rsid w:val="00ED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8FE4"/>
  <w15:chartTrackingRefBased/>
  <w15:docId w15:val="{EC8D1178-0CA5-4803-A883-BF45854F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8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281A3D"/>
    <w:rPr>
      <w:color w:val="0000FF"/>
      <w:u w:val="single"/>
    </w:rPr>
  </w:style>
  <w:style w:type="character" w:customStyle="1" w:styleId="wtoffscreen">
    <w:name w:val="wtoffscreen"/>
    <w:basedOn w:val="Absatz-Standardschriftart"/>
    <w:rsid w:val="00281A3D"/>
  </w:style>
  <w:style w:type="character" w:styleId="Fett">
    <w:name w:val="Strong"/>
    <w:basedOn w:val="Absatz-Standardschriftart"/>
    <w:uiPriority w:val="22"/>
    <w:qFormat/>
    <w:rsid w:val="00281A3D"/>
    <w:rPr>
      <w:b/>
      <w:bCs/>
    </w:rPr>
  </w:style>
  <w:style w:type="character" w:styleId="Hervorhebung">
    <w:name w:val="Emphasis"/>
    <w:basedOn w:val="Absatz-Standardschriftart"/>
    <w:uiPriority w:val="20"/>
    <w:qFormat/>
    <w:rsid w:val="001D30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uildingsandcities.org/journal-content/special-issues/carbon-metrics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2806</Characters>
  <Application>Microsoft Office Word</Application>
  <DocSecurity>4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Lützkendorf, Thomas (OEW)</dc:creator>
  <cp:keywords/>
  <dc:description/>
  <cp:lastModifiedBy>Lützkendorf, Thomas (OEW)</cp:lastModifiedBy>
  <cp:revision>2</cp:revision>
  <cp:lastPrinted>2021-01-31T13:19:00Z</cp:lastPrinted>
  <dcterms:created xsi:type="dcterms:W3CDTF">2021-02-14T15:27:00Z</dcterms:created>
  <dcterms:modified xsi:type="dcterms:W3CDTF">2021-02-14T15:27:00Z</dcterms:modified>
</cp:coreProperties>
</file>